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C49C1" w14:textId="77777777" w:rsidR="00401018" w:rsidRPr="00BD0776" w:rsidRDefault="00401018" w:rsidP="00BD0776">
      <w:pPr>
        <w:spacing w:after="0"/>
        <w:ind w:firstLine="709"/>
        <w:rPr>
          <w:rFonts w:cs="Times New Roman"/>
          <w:b/>
          <w:iCs/>
          <w:sz w:val="20"/>
          <w:szCs w:val="20"/>
          <w:lang w:val="kk-KZ"/>
        </w:rPr>
      </w:pPr>
      <w:bookmarkStart w:id="0" w:name="_GoBack"/>
      <w:bookmarkEnd w:id="0"/>
    </w:p>
    <w:p w14:paraId="535E3B8B" w14:textId="02C371C3" w:rsidR="00401018" w:rsidRPr="00BD0776" w:rsidRDefault="00401018" w:rsidP="00BD0776">
      <w:pPr>
        <w:spacing w:after="0"/>
        <w:ind w:firstLine="709"/>
        <w:rPr>
          <w:rFonts w:cs="Times New Roman"/>
          <w:b/>
          <w:iCs/>
          <w:sz w:val="20"/>
          <w:szCs w:val="20"/>
          <w:lang w:val="kk-KZ"/>
        </w:rPr>
      </w:pPr>
      <w:r w:rsidRPr="00BD0776">
        <w:rPr>
          <w:rFonts w:cs="Times New Roman"/>
          <w:b/>
          <w:iCs/>
          <w:sz w:val="20"/>
          <w:szCs w:val="20"/>
          <w:lang w:val="kk-KZ"/>
        </w:rPr>
        <w:t xml:space="preserve">ЕСПЕНБАЙ </w:t>
      </w:r>
      <w:r w:rsidR="004101D1" w:rsidRPr="00BD0776">
        <w:rPr>
          <w:rFonts w:cs="Times New Roman"/>
          <w:b/>
          <w:iCs/>
          <w:sz w:val="20"/>
          <w:szCs w:val="20"/>
          <w:lang w:val="kk-KZ"/>
        </w:rPr>
        <w:t>Аяулым Ғаниқызы</w:t>
      </w:r>
      <w:r w:rsidRPr="00BD0776">
        <w:rPr>
          <w:rFonts w:cs="Times New Roman"/>
          <w:b/>
          <w:iCs/>
          <w:sz w:val="20"/>
          <w:szCs w:val="20"/>
          <w:lang w:val="kk-KZ"/>
        </w:rPr>
        <w:t>,</w:t>
      </w:r>
    </w:p>
    <w:p w14:paraId="286FE123" w14:textId="35C1E5FF" w:rsidR="004101D1" w:rsidRPr="00BD0776" w:rsidRDefault="00401018" w:rsidP="00BD0776">
      <w:pPr>
        <w:spacing w:after="0"/>
        <w:ind w:firstLine="709"/>
        <w:rPr>
          <w:rFonts w:cs="Times New Roman"/>
          <w:b/>
          <w:iCs/>
          <w:sz w:val="20"/>
          <w:szCs w:val="20"/>
          <w:lang w:val="kk-KZ"/>
        </w:rPr>
      </w:pPr>
      <w:r w:rsidRPr="00BD0776">
        <w:rPr>
          <w:rFonts w:cs="Times New Roman"/>
          <w:b/>
          <w:iCs/>
          <w:sz w:val="20"/>
          <w:szCs w:val="20"/>
          <w:lang w:val="kk-KZ"/>
        </w:rPr>
        <w:t>Al Farabi Bilim</w:t>
      </w:r>
      <w:r w:rsidR="004101D1" w:rsidRPr="00BD0776">
        <w:rPr>
          <w:rFonts w:cs="Times New Roman"/>
          <w:b/>
          <w:iCs/>
          <w:sz w:val="20"/>
          <w:szCs w:val="20"/>
          <w:lang w:val="kk-KZ"/>
        </w:rPr>
        <w:t xml:space="preserve"> мектебі</w:t>
      </w:r>
      <w:r w:rsidRPr="00BD0776">
        <w:rPr>
          <w:rFonts w:cs="Times New Roman"/>
          <w:b/>
          <w:iCs/>
          <w:sz w:val="20"/>
          <w:szCs w:val="20"/>
          <w:lang w:val="kk-KZ"/>
        </w:rPr>
        <w:t xml:space="preserve">нің дене </w:t>
      </w:r>
      <w:r w:rsidR="004101D1" w:rsidRPr="00BD0776">
        <w:rPr>
          <w:rFonts w:cs="Times New Roman"/>
          <w:b/>
          <w:iCs/>
          <w:sz w:val="20"/>
          <w:szCs w:val="20"/>
          <w:lang w:val="kk-KZ"/>
        </w:rPr>
        <w:t>шынықтыру</w:t>
      </w:r>
      <w:r w:rsidRPr="00BD0776">
        <w:rPr>
          <w:rFonts w:cs="Times New Roman"/>
          <w:b/>
          <w:iCs/>
          <w:sz w:val="20"/>
          <w:szCs w:val="20"/>
          <w:lang w:val="kk-KZ"/>
        </w:rPr>
        <w:t xml:space="preserve"> пәні мұғалімі.</w:t>
      </w:r>
    </w:p>
    <w:p w14:paraId="54B002FF" w14:textId="4A30E770" w:rsidR="004101D1" w:rsidRPr="00BD0776" w:rsidRDefault="004101D1" w:rsidP="00BD0776">
      <w:pPr>
        <w:spacing w:after="0"/>
        <w:ind w:firstLine="709"/>
        <w:rPr>
          <w:rFonts w:cs="Times New Roman"/>
          <w:b/>
          <w:iCs/>
          <w:sz w:val="20"/>
          <w:szCs w:val="20"/>
          <w:lang w:val="kk-KZ"/>
        </w:rPr>
      </w:pPr>
      <w:r w:rsidRPr="00BD0776">
        <w:rPr>
          <w:rFonts w:cs="Times New Roman"/>
          <w:b/>
          <w:iCs/>
          <w:sz w:val="20"/>
          <w:szCs w:val="20"/>
          <w:lang w:val="kk-KZ"/>
        </w:rPr>
        <w:t>⁠Шымкент қаласы</w:t>
      </w:r>
    </w:p>
    <w:p w14:paraId="3023D12D" w14:textId="77777777" w:rsidR="00681538" w:rsidRPr="00BD0776" w:rsidRDefault="00681538" w:rsidP="00BD0776">
      <w:pPr>
        <w:spacing w:after="0"/>
        <w:ind w:firstLine="709"/>
        <w:jc w:val="both"/>
        <w:rPr>
          <w:rFonts w:cs="Times New Roman"/>
          <w:b/>
          <w:bCs/>
          <w:sz w:val="20"/>
          <w:szCs w:val="20"/>
          <w:lang w:val="kk-KZ"/>
        </w:rPr>
      </w:pPr>
    </w:p>
    <w:p w14:paraId="3214C45D" w14:textId="77777777" w:rsidR="00BD0776" w:rsidRPr="00BD0776" w:rsidRDefault="00BD0776" w:rsidP="00BD0776">
      <w:pPr>
        <w:spacing w:after="0"/>
        <w:ind w:firstLine="709"/>
        <w:jc w:val="center"/>
        <w:rPr>
          <w:rFonts w:cs="Times New Roman"/>
          <w:b/>
          <w:bCs/>
          <w:sz w:val="20"/>
          <w:szCs w:val="20"/>
          <w:lang w:val="kk-KZ"/>
        </w:rPr>
      </w:pPr>
      <w:r w:rsidRPr="00BD0776">
        <w:rPr>
          <w:rFonts w:cs="Times New Roman"/>
          <w:b/>
          <w:bCs/>
          <w:sz w:val="20"/>
          <w:szCs w:val="20"/>
          <w:lang w:val="kk-KZ"/>
        </w:rPr>
        <w:t>ВОЛЛЕЙБОЛ ДОБЫН ТӨМЕННЕН ЖӘНЕ ЖОҒАРЫДАН ҚАБЫЛДАУ ӘДІСТЕРІ</w:t>
      </w:r>
    </w:p>
    <w:p w14:paraId="2B619691" w14:textId="77777777" w:rsidR="00BD0776" w:rsidRPr="00BD0776" w:rsidRDefault="00BD0776" w:rsidP="00BD0776">
      <w:pPr>
        <w:spacing w:after="0"/>
        <w:ind w:firstLine="709"/>
        <w:rPr>
          <w:rFonts w:cs="Times New Roman"/>
          <w:b/>
          <w:bCs/>
          <w:sz w:val="20"/>
          <w:szCs w:val="20"/>
          <w:lang w:val="kk-KZ"/>
        </w:rPr>
      </w:pPr>
    </w:p>
    <w:p w14:paraId="35EF4EC0" w14:textId="59D9FAFC" w:rsidR="005A193F" w:rsidRPr="00BD0776" w:rsidRDefault="005A193F" w:rsidP="00BD0776">
      <w:pPr>
        <w:spacing w:after="0"/>
        <w:ind w:firstLine="709"/>
        <w:rPr>
          <w:rFonts w:cs="Times New Roman"/>
          <w:b/>
          <w:bCs/>
          <w:sz w:val="20"/>
          <w:szCs w:val="20"/>
          <w:lang w:val="kk-KZ"/>
        </w:rPr>
      </w:pPr>
      <w:r w:rsidRPr="00BD0776">
        <w:rPr>
          <w:rFonts w:cs="Times New Roman"/>
          <w:b/>
          <w:bCs/>
          <w:sz w:val="20"/>
          <w:szCs w:val="20"/>
          <w:lang w:val="kk-KZ"/>
        </w:rPr>
        <w:t>Доп техникасын оқыту әдістемесінің ерекшеліктері.</w:t>
      </w:r>
      <w:r w:rsidRPr="00BD0776">
        <w:rPr>
          <w:rFonts w:cs="Times New Roman"/>
          <w:sz w:val="20"/>
          <w:szCs w:val="20"/>
          <w:lang w:val="kk-KZ"/>
        </w:rPr>
        <w:t xml:space="preserve"> Волейбол сабақтарын ұйымдастырудың және өткізудің мақсаты-осы спорт ойынымен айналысатындарды игеру, оны танымал ету және оқушыларды жүйелі дене жаттығуларымен таныстыру. Волейбол сабақтарын ұйымдастыру жане өткізу үшін мектепте тиісті материалдық база болуы керек: ойын алаңы, сондай-ақ, қажетті құрал-жабдықтар: волейбол доптары, әртүрлі биіктікте орнатуға болатын волейбол торы.</w:t>
      </w:r>
    </w:p>
    <w:p w14:paraId="5CC405A2" w14:textId="1A7E8C3C" w:rsidR="005A193F" w:rsidRPr="00BD0776" w:rsidRDefault="005A193F" w:rsidP="00BD0776">
      <w:pPr>
        <w:spacing w:after="0"/>
        <w:ind w:firstLine="709"/>
        <w:jc w:val="both"/>
        <w:rPr>
          <w:rFonts w:cs="Times New Roman"/>
          <w:sz w:val="20"/>
          <w:szCs w:val="20"/>
          <w:lang w:val="kk-KZ"/>
        </w:rPr>
      </w:pPr>
      <w:r w:rsidRPr="00BD0776">
        <w:rPr>
          <w:rFonts w:cs="Times New Roman"/>
          <w:b/>
          <w:bCs/>
          <w:sz w:val="20"/>
          <w:szCs w:val="20"/>
          <w:lang w:val="kk-KZ"/>
        </w:rPr>
        <w:t>Допты теменнен екі қолмен қабылдау.</w:t>
      </w:r>
      <w:r w:rsidRPr="00BD0776">
        <w:rPr>
          <w:rFonts w:cs="Times New Roman"/>
          <w:sz w:val="20"/>
          <w:szCs w:val="20"/>
          <w:lang w:val="kk-KZ"/>
        </w:rPr>
        <w:t xml:space="preserve"> Бірінші волейбол сабағы теориялық сабақ түрінде өткізіледі. Кейінгі сабақтар ойынның техникалық элементтерін оқытудың негізгі міндеттерін шешуге, волейболға қажетті дағдылар мен дағдыларды қалыптастыруға қызмет етеді.</w:t>
      </w:r>
    </w:p>
    <w:p w14:paraId="4325232A" w14:textId="03D6A8DA"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Волейбол сабақтарын жоспарлау зерттелетін пеннің міндеттеріне жане оқушылардың жеке ерекшеліктерін ескере отырып құрылуы керек. Тапсырмалар ар сабаққа, тіпті оның жеке беліктеріне қойылуы керек. Сонымен қатар, мұғалім келесі сабақтарда жүзеге асырылатын алыс мәселелерді шешуге дайын болуы керек. Бір сабақта оқу процесінде әдетте 3-4 тапсырма шешілетінін есте ұстаған жен. Сонымен қатар, негізгі және қосалқы міндеттерді олардың жасына және оқушылардың дене шынықтыру деңгейіне сәйкес жузеге асыра отырып ажырату өте маңызды. Ойын техникасын үйрену кезінде ең қолайлы жағдай жасау үшін келесі реттілікті сақтау қажет:</w:t>
      </w:r>
    </w:p>
    <w:p w14:paraId="058B9EE6" w14:textId="79C4CCDD"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Ойын техникасымен жалпы танысу.</w:t>
      </w:r>
    </w:p>
    <w:p w14:paraId="4DD7718D" w14:textId="492C54D8"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Жеңілдетілген жағдайларда ойын қабылдауын орындау.</w:t>
      </w:r>
    </w:p>
    <w:p w14:paraId="7E943017" w14:textId="11E302C5"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Ойынға жақын жағдайларда техникалық қабылдауды үйрену.</w:t>
      </w:r>
    </w:p>
    <w:p w14:paraId="7BFF2C0A" w14:textId="2DD2FBB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Топтық жаттығулар мен ойындарда ойын қабылдауды жетілдіру.</w:t>
      </w:r>
    </w:p>
    <w:p w14:paraId="277445D6" w14:textId="120F7027"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Жаттығуды таңдағанда монотондылықтан аулақ болу керек, ал орындаған кезде көп қайталанудан аулақ болу керек. Ұсынылған тапсырмалар үнемі өзгертіліп, басқалармен толықтырылуы керек. Сабақты өткізудің бәсекеге қабілетті түрін пайдаланған кезде сабаққа деген қызығушылық жоғары болады: "кім көбірек пас береді?", "Кімнің тобы допты ауада ұзақ ұстайды? жане т. б. Осылайша, тек дұрыс ұйымдастырылған оқу процесі, жарақаттанудың алдын алуға бағытталған іс-шаралар кешенін жүйелі түрде өткізу оқушылардың денсаулығын сақтауга жане нығайтуга жане олардың спорттық жетілуіне қол жеткізуге мүмкіндік береді.</w:t>
      </w:r>
    </w:p>
    <w:p w14:paraId="6DDFFC59" w14:textId="754E4562" w:rsidR="005A193F" w:rsidRPr="00BD0776" w:rsidRDefault="005A193F" w:rsidP="00BD0776">
      <w:pPr>
        <w:spacing w:after="0"/>
        <w:ind w:firstLine="709"/>
        <w:jc w:val="both"/>
        <w:rPr>
          <w:rFonts w:cs="Times New Roman"/>
          <w:sz w:val="20"/>
          <w:szCs w:val="20"/>
          <w:lang w:val="kk-KZ"/>
        </w:rPr>
      </w:pPr>
      <w:r w:rsidRPr="00BD0776">
        <w:rPr>
          <w:rFonts w:cs="Times New Roman"/>
          <w:b/>
          <w:bCs/>
          <w:sz w:val="20"/>
          <w:szCs w:val="20"/>
          <w:lang w:val="kk-KZ"/>
        </w:rPr>
        <w:t>Допты теменнен екі қолмен қабылдау техникасы.</w:t>
      </w:r>
      <w:r w:rsidRPr="00BD0776">
        <w:rPr>
          <w:rFonts w:cs="Times New Roman"/>
          <w:sz w:val="20"/>
          <w:szCs w:val="20"/>
          <w:lang w:val="kk-KZ"/>
        </w:rPr>
        <w:t xml:space="preserve"> Тамақтандыруды қабылдау көбінесе теменнен екі қолмен жүзеге асырылады. Бұл ең сенімді әдіс және бүкіл алемдегі волейболшылар едетте иннингті қабылдайды. Суретте. 1 допты осы тәсілмен қабылдайтын ойыншының позициясы кврсетілген. Бастапқы қалыпта аяқтар бүгілген, бір аяғы сал алка, колдар допты қабылдауға дайын. Қолдың орналасуы үлкен маңызға ие. Қолдар жабық жане темен қарай тартылады. Қолдар түзу, сыртқа Қаратылған жане мүмкіндігінше жакын. Көрсетілген бастапқы позицияны уақтылы алу өте маңызды. Ол үшін ойыншы ұсынудың мүмкін бағытын Жылжыта білуі керек және қабылдау үшін ыңғайлы позицияга уақтылы шығуы керек.</w:t>
      </w:r>
    </w:p>
    <w:p w14:paraId="0ECEF35E" w14:textId="34CAB59D"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Допты қабылдау білектің теменгі бөлігінде жузеге асырылады, кейде "манжеттер"деп айтылады. Допты қабылдау кезінде қолдар түзетіледі, оларды шынтақ буындарында бүгу өрескел қателік болады. Қолдың күшті қарама-қарсы қозғалысы болмауы керек, олар аяқтарын ұзарту арқылы доппен кездесу орнына жақындайды, қолдар доптың астына қойылады, бірінші берілістің траекториясын реттейді, бірақ оны "ұрмайды". Тіпті "тамақтандыруды қабылдау аяқтармен жүзеге асырылады" деген тіркес бар, бұл бастапқы позицияны уақтылы таңдаудың рөлін көрсетеді. Аяқтың бүгілу дәрежесі қызмет көрсету траекториясына байланысты, ете темен ойыншы допты қабылдайды, содан кейін құлап, жамбас пен аркага карай домалайды.</w:t>
      </w:r>
    </w:p>
    <w:p w14:paraId="24B87C63" w14:textId="56C8A9CD" w:rsidR="005A193F" w:rsidRPr="00BD0776" w:rsidRDefault="005A193F" w:rsidP="00BD0776">
      <w:pPr>
        <w:spacing w:after="0"/>
        <w:ind w:firstLine="709"/>
        <w:jc w:val="both"/>
        <w:rPr>
          <w:rFonts w:cs="Times New Roman"/>
          <w:sz w:val="20"/>
          <w:szCs w:val="20"/>
          <w:lang w:val="kk-KZ"/>
        </w:rPr>
      </w:pPr>
      <w:r w:rsidRPr="00BD0776">
        <w:rPr>
          <w:rFonts w:cs="Times New Roman"/>
          <w:b/>
          <w:bCs/>
          <w:sz w:val="20"/>
          <w:szCs w:val="20"/>
          <w:lang w:val="kk-KZ"/>
        </w:rPr>
        <w:t>Дайындық жаттығулары.</w:t>
      </w:r>
      <w:r w:rsidRPr="00BD0776">
        <w:rPr>
          <w:rFonts w:cs="Times New Roman"/>
          <w:sz w:val="20"/>
          <w:szCs w:val="20"/>
          <w:lang w:val="kk-KZ"/>
        </w:rPr>
        <w:t xml:space="preserve"> Қабылдау дағдыларын анықтау көбінесе белгілі бір физикалық қасиеттердің даму деңгейіне байланысты, олардың дамуы дайындықтың бастапқы кезеңін құрайды. Осы жаттығулар тобына (дайындық) мыналар кіреді:</w:t>
      </w:r>
    </w:p>
    <w:p w14:paraId="57E44A89"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Білек буындарында қолды бүгу жане кеңейту, қолдың айналмалы қозғалысы. Сол сияқты, бірақ щеткалар жабық (саусақтар бір-біріне жабысады)</w:t>
      </w:r>
    </w:p>
    <w:p w14:paraId="3A343F3E"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Қабырғаға тірелген аялдамадан білезік буындарындағы қолдың бір мезгілде кезектесіп бүгілуі: алақандар қабырғаға саусақтармен жоғары, бүйірге, темен, саусақтар жабық немесе белек орналасқан.</w:t>
      </w:r>
    </w:p>
    <w:p w14:paraId="1B4DE3FA"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Қабырғада тұрған аялдамадан алақан мен саусақтарды қабырғаға екі қолмен бір уақытта жане кезек-кезек оң және сол қолмен итеру.</w:t>
      </w:r>
    </w:p>
    <w:p w14:paraId="7DDF4CD6"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Шеңбер бойымен қолдарыңызда қозғалу, аяқтың шұлықтары орнында</w:t>
      </w:r>
    </w:p>
    <w:p w14:paraId="1BD6E852"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Қозғалу жатып, аяғын серіктес ұстайды (ұлдар үшін).</w:t>
      </w:r>
    </w:p>
    <w:p w14:paraId="79161781"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Аялдамадан еңкейіп, алға-жоғары созылып, жату аялдамасына етіңіз.</w:t>
      </w:r>
    </w:p>
    <w:p w14:paraId="5171715B" w14:textId="77777777"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lastRenderedPageBreak/>
        <w:t>Басылған допты (салмағы 1 кг) қабырғаға екі қолмен лақтырыңыз, қабырғадан шағылысқаннан кейін қолыңызды ауыстырыңыз (қабылдау позициясы төменнен)</w:t>
      </w:r>
    </w:p>
    <w:p w14:paraId="54589129" w14:textId="01D72D18" w:rsidR="005A193F"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 xml:space="preserve"> Жұпта бірдей, қашықтық 3-4 м.</w:t>
      </w:r>
    </w:p>
    <w:p w14:paraId="126D8E07" w14:textId="36E9B36F"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Сигналға жауап ретінде статикалық позициядан үдеумен жүгіру (адетте керу) жане 1-ден 5 м-ге дейінгі қашықтықты жүгіргеннен кейін тоқтау.</w:t>
      </w:r>
    </w:p>
    <w:p w14:paraId="1C2406D7" w14:textId="77777777"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 Дәл солай, бірақ оңға, солға, артқа қарай үдеу.</w:t>
      </w:r>
    </w:p>
    <w:p w14:paraId="01B16D4E" w14:textId="77777777"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-Бірдей, бірақ бүйірлік қадамдар бет, оң, сол жақ, артқа алға.</w:t>
      </w:r>
    </w:p>
    <w:p w14:paraId="5DBC8D36" w14:textId="2B8E57CB"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-Салмағы 1 кг басылған допты екі қолм</w:t>
      </w:r>
      <w:r w:rsidR="00BD0776">
        <w:rPr>
          <w:rFonts w:cs="Times New Roman"/>
          <w:sz w:val="20"/>
          <w:szCs w:val="20"/>
          <w:lang w:val="kk-KZ"/>
        </w:rPr>
        <w:t>ен тізе деңгейінде, қолдар түзу</w:t>
      </w:r>
      <w:r w:rsidRPr="00BD0776">
        <w:rPr>
          <w:rFonts w:cs="Times New Roman"/>
          <w:sz w:val="20"/>
          <w:szCs w:val="20"/>
          <w:lang w:val="kk-KZ"/>
        </w:rPr>
        <w:t xml:space="preserve"> ұстау жаттығулары.</w:t>
      </w:r>
    </w:p>
    <w:p w14:paraId="2359C00C" w14:textId="3E956844"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-10 м дейінгі қашықтықта басылған допты (1 кг) лақтыру және теменнен қолмен ұстау. Әр түрлі доптарды 15-20 м қашықтыққа лақтыру жане аулау.</w:t>
      </w:r>
    </w:p>
    <w:p w14:paraId="5FF4E7B0" w14:textId="04CDD95D" w:rsidR="005A193F" w:rsidRPr="00BD0776" w:rsidRDefault="005A193F" w:rsidP="00BD0776">
      <w:pPr>
        <w:spacing w:after="0"/>
        <w:ind w:firstLine="709"/>
        <w:jc w:val="both"/>
        <w:rPr>
          <w:rFonts w:cs="Times New Roman"/>
          <w:sz w:val="20"/>
          <w:szCs w:val="20"/>
          <w:lang w:val="kk-KZ"/>
        </w:rPr>
      </w:pPr>
      <w:r w:rsidRPr="00BD0776">
        <w:rPr>
          <w:rFonts w:cs="Times New Roman"/>
          <w:sz w:val="20"/>
          <w:szCs w:val="20"/>
          <w:lang w:val="kk-KZ"/>
        </w:rPr>
        <w:t>Бұл жаттығуларда доптың ұшу бағытын ескере отырып, олардың өрекеттерін өлшеу қабілеті дамиды жене қозғалатын затқа реакция жылдамдығы дамиды, бұл қызмет көрсету кезінде өте маңызды. Бұл жаттығулар сабақтарда жүйелі түрде қолданылады, тіпті жас спортшылар волейбол ойнауды үйренген кезде де. Осы жаттығуларды қолданудың белгілі бір кезеңінен кейін олар волейбол жаттыгуларына кіріседі. Бастапқыда жетекші жаттығулар қолданылады.</w:t>
      </w:r>
    </w:p>
    <w:p w14:paraId="129DF7C0" w14:textId="68188466" w:rsidR="005A193F" w:rsidRPr="00BD0776" w:rsidRDefault="005A193F" w:rsidP="00BD0776">
      <w:pPr>
        <w:spacing w:after="0"/>
        <w:ind w:firstLine="709"/>
        <w:jc w:val="both"/>
        <w:rPr>
          <w:rFonts w:cs="Times New Roman"/>
          <w:sz w:val="20"/>
          <w:szCs w:val="20"/>
          <w:lang w:val="kk-KZ"/>
        </w:rPr>
      </w:pPr>
      <w:r w:rsidRPr="00BD0776">
        <w:rPr>
          <w:rFonts w:cs="Times New Roman"/>
          <w:b/>
          <w:bCs/>
          <w:sz w:val="20"/>
          <w:szCs w:val="20"/>
          <w:lang w:val="kk-KZ"/>
        </w:rPr>
        <w:t>Жетекші жаттығулар.</w:t>
      </w:r>
      <w:r w:rsidRPr="00BD0776">
        <w:rPr>
          <w:rFonts w:cs="Times New Roman"/>
          <w:sz w:val="20"/>
          <w:szCs w:val="20"/>
          <w:lang w:val="kk-KZ"/>
        </w:rPr>
        <w:t xml:space="preserve"> Ең алдымен, қолдың, қолдың дұрыс орналасуын үйрету керек. Ең жиі кездесетіні-бұл қолдың орналасуы, оң алақан сол жаққа қойылғанда. Сол қолдың бас бармағы оң қолдың саусақтарына басылып, оң қолдың бас бармағына параллель орналасады. Екі қол да төменгі жағында бүгіліп, допты қабылдауға қатыспайды.Әр спортшы өзі үшін жолды таңдайды:</w:t>
      </w:r>
    </w:p>
    <w:p w14:paraId="1915D0A2"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Сымға ілінген волейболды уру. Қолдың қозғалысы негізінен аяқтың кеңеюіне байланысты-иық буындарында шамалы, шынтақ буындарында жоқ. Негізі міндет-қабылдау</w:t>
      </w:r>
      <w:r w:rsidR="00AA15B2" w:rsidRPr="00BD0776">
        <w:rPr>
          <w:rFonts w:cs="Times New Roman"/>
          <w:sz w:val="20"/>
          <w:szCs w:val="20"/>
          <w:lang w:val="kk-KZ"/>
        </w:rPr>
        <w:t xml:space="preserve"> </w:t>
      </w:r>
      <w:r w:rsidRPr="00BD0776">
        <w:rPr>
          <w:rFonts w:cs="Times New Roman"/>
          <w:sz w:val="20"/>
          <w:szCs w:val="20"/>
          <w:lang w:val="kk-KZ"/>
        </w:rPr>
        <w:t>кезінде қалдың жағдайын сезіну.</w:t>
      </w:r>
    </w:p>
    <w:p w14:paraId="11C1C2A9"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Сол, оңға, солға жане тоқтағаннан кейін.</w:t>
      </w:r>
    </w:p>
    <w:p w14:paraId="750CE703"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Допты теменнен қабылдау, допты серіктес лақтырады (қашықтық 2-3 м, содан кейін ол біртіндеп 10-15 м-ге дейін артады).</w:t>
      </w:r>
    </w:p>
    <w:p w14:paraId="41B5FF11"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Қабырғаға: допты төменнен бірнеше рет ұру, қолдың қарсы қозғалысы шамалы және негізінен аяқтың кеңеюіне байланысты жасалады.</w:t>
      </w:r>
    </w:p>
    <w:p w14:paraId="522B53C8"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Д</w:t>
      </w:r>
      <w:r w:rsidR="00AA15B2" w:rsidRPr="00BD0776">
        <w:rPr>
          <w:rFonts w:cs="Times New Roman"/>
          <w:sz w:val="20"/>
          <w:szCs w:val="20"/>
          <w:lang w:val="kk-KZ"/>
        </w:rPr>
        <w:t>ә</w:t>
      </w:r>
      <w:r w:rsidRPr="00BD0776">
        <w:rPr>
          <w:rFonts w:cs="Times New Roman"/>
          <w:sz w:val="20"/>
          <w:szCs w:val="20"/>
          <w:lang w:val="kk-KZ"/>
        </w:rPr>
        <w:t>л солай, бірақ допты қабырғаға жоғарыдан екі қолмен жіберу арқылы жіберіңіз. Қашықтық біртіндеп артады, орнында және алга, онға, солға, артқа жылжытқаннан кейін</w:t>
      </w:r>
      <w:r w:rsidR="00AA15B2" w:rsidRPr="00BD0776">
        <w:rPr>
          <w:rFonts w:cs="Times New Roman"/>
          <w:sz w:val="20"/>
          <w:szCs w:val="20"/>
          <w:lang w:val="kk-KZ"/>
        </w:rPr>
        <w:t xml:space="preserve"> орындаңыз</w:t>
      </w:r>
    </w:p>
    <w:p w14:paraId="0092E570" w14:textId="0ECACCBC"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Д</w:t>
      </w:r>
      <w:r w:rsidR="00AA15B2" w:rsidRPr="00BD0776">
        <w:rPr>
          <w:rFonts w:cs="Times New Roman"/>
          <w:sz w:val="20"/>
          <w:szCs w:val="20"/>
          <w:lang w:val="kk-KZ"/>
        </w:rPr>
        <w:t>ә</w:t>
      </w:r>
      <w:r w:rsidRPr="00BD0776">
        <w:rPr>
          <w:rFonts w:cs="Times New Roman"/>
          <w:sz w:val="20"/>
          <w:szCs w:val="20"/>
          <w:lang w:val="kk-KZ"/>
        </w:rPr>
        <w:t>л солай, бірақ допты қабырғаға бір қолмен со</w:t>
      </w:r>
      <w:r w:rsidR="00AA15B2" w:rsidRPr="00BD0776">
        <w:rPr>
          <w:rFonts w:cs="Times New Roman"/>
          <w:sz w:val="20"/>
          <w:szCs w:val="20"/>
          <w:lang w:val="kk-KZ"/>
        </w:rPr>
        <w:t>ғ</w:t>
      </w:r>
      <w:r w:rsidRPr="00BD0776">
        <w:rPr>
          <w:rFonts w:cs="Times New Roman"/>
          <w:sz w:val="20"/>
          <w:szCs w:val="20"/>
          <w:lang w:val="kk-KZ"/>
        </w:rPr>
        <w:t>у арқылы жіберіңіз</w:t>
      </w:r>
      <w:r w:rsidR="00AA15B2" w:rsidRPr="00BD0776">
        <w:rPr>
          <w:rFonts w:cs="Times New Roman"/>
          <w:sz w:val="20"/>
          <w:szCs w:val="20"/>
          <w:lang w:val="kk-KZ"/>
        </w:rPr>
        <w:t>.</w:t>
      </w:r>
    </w:p>
    <w:p w14:paraId="43BD8721"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Төменнен бірнеше рет беру (жонглерлік)</w:t>
      </w:r>
    </w:p>
    <w:p w14:paraId="0E48F8F1" w14:textId="77777777"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Допты жоғары-Алға лақтыру, оны қуып жету жане оны секіргеннен кейін төменнен қабылдау.</w:t>
      </w:r>
    </w:p>
    <w:p w14:paraId="26BB56D6" w14:textId="0B347708" w:rsidR="00AA15B2" w:rsidRPr="00BD0776" w:rsidRDefault="005A193F" w:rsidP="00BD0776">
      <w:pPr>
        <w:pStyle w:val="a7"/>
        <w:numPr>
          <w:ilvl w:val="0"/>
          <w:numId w:val="10"/>
        </w:numPr>
        <w:spacing w:after="0"/>
        <w:ind w:left="0"/>
        <w:jc w:val="both"/>
        <w:rPr>
          <w:rFonts w:cs="Times New Roman"/>
          <w:sz w:val="20"/>
          <w:szCs w:val="20"/>
          <w:lang w:val="kk-KZ"/>
        </w:rPr>
      </w:pPr>
      <w:r w:rsidRPr="00BD0776">
        <w:rPr>
          <w:rFonts w:cs="Times New Roman"/>
          <w:sz w:val="20"/>
          <w:szCs w:val="20"/>
          <w:lang w:val="kk-KZ"/>
        </w:rPr>
        <w:t>Допты 6-аймаққа қабылдау, допты тор арқылы серіктес лақтырады.</w:t>
      </w:r>
    </w:p>
    <w:p w14:paraId="1859BC54" w14:textId="77777777" w:rsidR="00BD0776" w:rsidRPr="00BD0776" w:rsidRDefault="00AA15B2" w:rsidP="00BD0776">
      <w:pPr>
        <w:spacing w:after="0"/>
        <w:rPr>
          <w:rFonts w:cs="Times New Roman"/>
          <w:sz w:val="20"/>
          <w:szCs w:val="20"/>
          <w:lang w:val="kk-KZ"/>
        </w:rPr>
      </w:pPr>
      <w:r w:rsidRPr="00BD0776">
        <w:rPr>
          <w:rFonts w:cs="Times New Roman"/>
          <w:sz w:val="20"/>
          <w:szCs w:val="20"/>
          <w:lang w:val="kk-KZ"/>
        </w:rPr>
        <w:t>Дайындық жаттығуларын жүйелі қолдану (Арнайы қасиеттерді дамыту үшін) және жетекші жаттығуларды игеру қабылдау дағдыларын жетілдіруге берік негіз жасайды. Мұнда ең бастысы техникалық жаттығулар болады. Олар өте алуан түрлі.</w:t>
      </w:r>
    </w:p>
    <w:p w14:paraId="47D29A02" w14:textId="459A959E" w:rsidR="00AA15B2" w:rsidRPr="00BD0776" w:rsidRDefault="00AA15B2" w:rsidP="00BD0776">
      <w:pPr>
        <w:spacing w:after="0"/>
        <w:rPr>
          <w:rFonts w:cs="Times New Roman"/>
          <w:sz w:val="20"/>
          <w:szCs w:val="20"/>
          <w:lang w:val="kk-KZ"/>
        </w:rPr>
      </w:pPr>
      <w:r w:rsidRPr="00BD0776">
        <w:rPr>
          <w:rFonts w:cs="Times New Roman"/>
          <w:b/>
          <w:bCs/>
          <w:sz w:val="20"/>
          <w:szCs w:val="20"/>
          <w:lang w:val="kk-KZ"/>
        </w:rPr>
        <w:t>Допты екі қолмен теменнен қабылдау.</w:t>
      </w:r>
      <w:r w:rsidRPr="00BD0776">
        <w:rPr>
          <w:rFonts w:cs="Times New Roman"/>
          <w:sz w:val="20"/>
          <w:szCs w:val="20"/>
          <w:lang w:val="kk-KZ"/>
        </w:rPr>
        <w:t xml:space="preserve"> Допты төменнен қабылдау қорғаныс техникасына жатады. Бұл әдіс екі жане бір қолмен орындалады. Допты төменнен екі қолмен қабылдауға үйрету кезінде мұғалім доптың астына уақтылы шығуға назар аударады. Доппен кездесу орнына қарай жылжығаннан кейін ойыншы сол аяғының соңғы тоқтау қадамымен бірге қолдарын алға созып, сал шиеленісіп, қолдарын біріктіреді. Аяқтар тізе бүгілген, денесі сәл алға қарай қисайған. Қолдар доптың ұшу жолына перпендикуляр орналасқан. Дене салмағы алдыңғы аяққа беріледі. Қабылдау қолды алға қарай жоғары қарай жылжыту арқылы кең өкпеде жүзеге асырылады.</w:t>
      </w:r>
    </w:p>
    <w:p w14:paraId="2B51E50D" w14:textId="566AA397" w:rsidR="00AA15B2" w:rsidRPr="00BD0776" w:rsidRDefault="00AA15B2" w:rsidP="00BD0776">
      <w:pPr>
        <w:spacing w:after="0"/>
        <w:rPr>
          <w:rFonts w:cs="Times New Roman"/>
          <w:sz w:val="20"/>
          <w:szCs w:val="20"/>
          <w:lang w:val="kk-KZ"/>
        </w:rPr>
      </w:pPr>
      <w:r w:rsidRPr="00BD0776">
        <w:rPr>
          <w:rFonts w:cs="Times New Roman"/>
          <w:sz w:val="20"/>
          <w:szCs w:val="20"/>
          <w:lang w:val="kk-KZ"/>
        </w:rPr>
        <w:t>Доп жақындаған кезде қарсы қозғалыс аяқпен басталады, қолдар біраз уақыттан кейін жұмысқа қосылады. Допты қабылдау білектің төменгі бөлігінде жүзеге асырылады. Допты қабылдау кезінде шынтақ буындарында қолды бүгуге болмайды. Қолдың алға қарай үлкен қозғалысы болмауы керек.</w:t>
      </w:r>
    </w:p>
    <w:p w14:paraId="761CCF80" w14:textId="43D5E548" w:rsidR="00AA15B2" w:rsidRPr="00BD0776" w:rsidRDefault="00AA15B2" w:rsidP="00BD0776">
      <w:pPr>
        <w:spacing w:after="0"/>
        <w:rPr>
          <w:rFonts w:cs="Times New Roman"/>
          <w:sz w:val="20"/>
          <w:szCs w:val="20"/>
          <w:lang w:val="kk-KZ"/>
        </w:rPr>
      </w:pPr>
      <w:r w:rsidRPr="00BD0776">
        <w:rPr>
          <w:rFonts w:cs="Times New Roman"/>
          <w:sz w:val="20"/>
          <w:szCs w:val="20"/>
          <w:lang w:val="kk-KZ"/>
        </w:rPr>
        <w:t>Әдебиеттер тізімі:</w:t>
      </w:r>
    </w:p>
    <w:p w14:paraId="2BCB2E6B" w14:textId="32D0C794" w:rsidR="00AA15B2" w:rsidRPr="00BD0776" w:rsidRDefault="00AA15B2" w:rsidP="00BD0776">
      <w:pPr>
        <w:spacing w:after="0"/>
        <w:rPr>
          <w:rFonts w:cs="Times New Roman"/>
          <w:sz w:val="20"/>
          <w:szCs w:val="20"/>
          <w:lang w:val="kk-KZ"/>
        </w:rPr>
      </w:pPr>
      <w:r w:rsidRPr="00BD0776">
        <w:rPr>
          <w:rFonts w:cs="Times New Roman"/>
          <w:sz w:val="20"/>
          <w:szCs w:val="20"/>
          <w:lang w:val="kk-KZ"/>
        </w:rPr>
        <w:t>1. Волейбол" оқушылардың сабақтан тыс қызметі" Г. А. Колодницкий В. С. Кузнецов и, в. Маслов Мәскеу 2015 ж.</w:t>
      </w:r>
    </w:p>
    <w:p w14:paraId="737E71FC" w14:textId="0E8535FC" w:rsidR="00AA15B2" w:rsidRPr="00BD0776" w:rsidRDefault="00AA15B2" w:rsidP="00BD0776">
      <w:pPr>
        <w:spacing w:after="0"/>
        <w:rPr>
          <w:rFonts w:cs="Times New Roman"/>
          <w:sz w:val="20"/>
          <w:szCs w:val="20"/>
          <w:lang w:val="kk-KZ"/>
        </w:rPr>
      </w:pPr>
      <w:r w:rsidRPr="00BD0776">
        <w:rPr>
          <w:rFonts w:cs="Times New Roman"/>
          <w:sz w:val="20"/>
          <w:szCs w:val="20"/>
          <w:lang w:val="kk-KZ"/>
        </w:rPr>
        <w:t>2. Назаренко л. д. волейболшы жоғары сынып оқушыларымен сабақта /л. д. Назаренко // Мектептегі дене шынықтыру. 2015. № 2. 43-46 бет.</w:t>
      </w:r>
    </w:p>
    <w:p w14:paraId="76C7310A" w14:textId="2774C762" w:rsidR="00AA15B2" w:rsidRPr="00BD0776" w:rsidRDefault="00AA15B2" w:rsidP="00BD0776">
      <w:pPr>
        <w:spacing w:after="0"/>
        <w:rPr>
          <w:rFonts w:cs="Times New Roman"/>
          <w:sz w:val="20"/>
          <w:szCs w:val="20"/>
          <w:lang w:val="kk-KZ"/>
        </w:rPr>
      </w:pPr>
      <w:r w:rsidRPr="00BD0776">
        <w:rPr>
          <w:rFonts w:cs="Times New Roman"/>
          <w:sz w:val="20"/>
          <w:szCs w:val="20"/>
          <w:lang w:val="kk-KZ"/>
        </w:rPr>
        <w:t xml:space="preserve">3. Гончарова Е. Д. дөңгелек жаттығу әдісі бойынша волейбол сабағы Е. Д. Гончарова// Мектептегі дене шынықтыру. 2014. №№ 6. 23-26 бет. </w:t>
      </w:r>
    </w:p>
    <w:sectPr w:rsidR="00AA15B2" w:rsidRPr="00BD07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FE347F"/>
    <w:multiLevelType w:val="hybridMultilevel"/>
    <w:tmpl w:val="60CCE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53214"/>
    <w:rsid w:val="00166EFE"/>
    <w:rsid w:val="00225B63"/>
    <w:rsid w:val="002F06B7"/>
    <w:rsid w:val="00401018"/>
    <w:rsid w:val="004101D1"/>
    <w:rsid w:val="004907D9"/>
    <w:rsid w:val="0049715A"/>
    <w:rsid w:val="004F3B10"/>
    <w:rsid w:val="005A193F"/>
    <w:rsid w:val="00681538"/>
    <w:rsid w:val="006C0B77"/>
    <w:rsid w:val="007F3819"/>
    <w:rsid w:val="008242FF"/>
    <w:rsid w:val="00870751"/>
    <w:rsid w:val="00922C48"/>
    <w:rsid w:val="009701F6"/>
    <w:rsid w:val="00AA15B2"/>
    <w:rsid w:val="00B915B7"/>
    <w:rsid w:val="00BD0776"/>
    <w:rsid w:val="00C67C7B"/>
    <w:rsid w:val="00C77F6D"/>
    <w:rsid w:val="00CD0206"/>
    <w:rsid w:val="00D924F0"/>
    <w:rsid w:val="00E6150A"/>
    <w:rsid w:val="00EA59DF"/>
    <w:rsid w:val="00EE4070"/>
    <w:rsid w:val="00F12C76"/>
    <w:rsid w:val="00FA2A2E"/>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8</cp:revision>
  <dcterms:created xsi:type="dcterms:W3CDTF">2025-12-07T04:09:00Z</dcterms:created>
  <dcterms:modified xsi:type="dcterms:W3CDTF">2025-12-15T12:06:00Z</dcterms:modified>
</cp:coreProperties>
</file>